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D1" w:rsidRPr="006C3ED1" w:rsidRDefault="006C3ED1" w:rsidP="006C3ED1">
      <w:pPr>
        <w:widowControl/>
        <w:shd w:val="clear" w:color="auto" w:fill="FFFFFF"/>
        <w:spacing w:line="480" w:lineRule="auto"/>
        <w:jc w:val="center"/>
        <w:outlineLvl w:val="1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6C3ED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财政部 国家自然科学基金委员会</w:t>
      </w:r>
      <w:r w:rsidRPr="006C3ED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br/>
        <w:t>关于国家自然科学基金资助项目资金管理有关问题的补充通知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bookmarkStart w:id="0" w:name="_GoBack"/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>财科教〔2016〕19号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>有关单位：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　　为了贯彻落实《中共中央办公厅 国务院办公厅印发&lt;关于进一步完善中央财政科研项目资金管理等政策的若干意见&gt;的通知》精神，现就《国家自然科学基金资助项目资金管理办法》（</w:t>
      </w:r>
      <w:proofErr w:type="gramStart"/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>财教</w:t>
      </w:r>
      <w:proofErr w:type="gramEnd"/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>﹝2015﹞15号）有关问题补充通知如下：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　　一、合并差旅费、会议费、国际合作与交流费三个科目为差旅/会议/国际合作与交流费一个科目，由科研人员结合科研活动实际需要编制预算并按规定统筹安排使用，其中不超过直接费用10%的，不需要提供预算测算依据。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　　二、参与项目研究的研究生、博士后、访问学者以及项目聘用的研究人员、科研辅助人员等，均可开支劳务费。项目聘用人员的劳务费开支标准，参照当地科学研究和技术服务业从业人员平均工资水平，根据其在项目研究中承担的工作任务确定，其社会保险补助纳入劳务费科目列支。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　　三、间接费用核定比例上限调整为：500万元以下的部分为20%，500万元至1000万元的部分为15%，1000万元以上的部分为13%。加大对科研人员的激励力度，取消绩效支出比例限制。依托单位在统</w:t>
      </w: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筹安排间接费用时，要处理好合理分摊间接成本和对科研人员激励的关系，绩效支出安排与科研人员在项目工作中的实际贡献挂钩。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　　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　　五、依托单位要切实强化法人责任，规范项目资金管理。要制定内部管理办法，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　　六、财政部、项目主管部门及其相关工作人员在国家自然科学基金预算审核环节，项目主管部门及其相关工作人员在项目立项及其资金分配等环节，存在违反规定安排资金以及其他滥用职权、玩忽职守、徇私舞弊等违法违纪行为的，按照《中华人民共和国预算法》、《中华人民共和国公务员法》、《中华人民共和国行政监察法》、《财政</w:t>
      </w: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违法行为处罚处分条例》等国家有关规定追究相应责任；涉嫌犯罪的，移送司法机关处理。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> 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>财政部  国家自然科学基金委员会</w:t>
      </w:r>
    </w:p>
    <w:p w:rsidR="006C3ED1" w:rsidRPr="00D77C9B" w:rsidRDefault="006C3ED1" w:rsidP="006C3ED1">
      <w:pPr>
        <w:widowControl/>
        <w:shd w:val="clear" w:color="auto" w:fill="FFFFFF"/>
        <w:spacing w:before="150" w:after="150" w:line="480" w:lineRule="auto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  <w:r w:rsidRPr="00D77C9B">
        <w:rPr>
          <w:rFonts w:ascii="微软雅黑" w:eastAsia="微软雅黑" w:hAnsi="微软雅黑" w:cs="宋体" w:hint="eastAsia"/>
          <w:kern w:val="0"/>
          <w:sz w:val="28"/>
          <w:szCs w:val="28"/>
        </w:rPr>
        <w:t>2016年12月5日</w:t>
      </w:r>
    </w:p>
    <w:bookmarkEnd w:id="0"/>
    <w:p w:rsidR="009F1396" w:rsidRDefault="008167F5"/>
    <w:sectPr w:rsidR="009F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F5" w:rsidRDefault="008167F5" w:rsidP="006C3ED1">
      <w:r>
        <w:separator/>
      </w:r>
    </w:p>
  </w:endnote>
  <w:endnote w:type="continuationSeparator" w:id="0">
    <w:p w:rsidR="008167F5" w:rsidRDefault="008167F5" w:rsidP="006C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F5" w:rsidRDefault="008167F5" w:rsidP="006C3ED1">
      <w:r>
        <w:separator/>
      </w:r>
    </w:p>
  </w:footnote>
  <w:footnote w:type="continuationSeparator" w:id="0">
    <w:p w:rsidR="008167F5" w:rsidRDefault="008167F5" w:rsidP="006C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D7"/>
    <w:rsid w:val="003A77E1"/>
    <w:rsid w:val="005B0FD7"/>
    <w:rsid w:val="006236FB"/>
    <w:rsid w:val="006C3ED1"/>
    <w:rsid w:val="008167F5"/>
    <w:rsid w:val="00B53FAB"/>
    <w:rsid w:val="00D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Company>WIN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2018-04-02T02:31:00Z</dcterms:created>
  <dcterms:modified xsi:type="dcterms:W3CDTF">2019-01-03T07:45:00Z</dcterms:modified>
</cp:coreProperties>
</file>